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8718" w14:textId="77777777" w:rsidR="00FB39E2" w:rsidRDefault="00FB39E2" w:rsidP="00A31972">
      <w:pPr>
        <w:pStyle w:val="Heading1"/>
        <w:rPr>
          <w:rFonts w:eastAsia="Times New Roman"/>
        </w:rPr>
      </w:pPr>
      <w:r>
        <w:rPr>
          <w:rFonts w:eastAsia="Times New Roman"/>
        </w:rPr>
        <w:t>3.3.2 Antidotes and Treatment for Extravasation</w:t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85"/>
        <w:gridCol w:w="1080"/>
        <w:gridCol w:w="3192"/>
        <w:gridCol w:w="3193"/>
      </w:tblGrid>
      <w:tr w:rsidR="00FB39E2" w:rsidRPr="00C65AA2" w14:paraId="2E16984D" w14:textId="77777777" w:rsidTr="00CA7B35">
        <w:trPr>
          <w:trHeight w:val="20"/>
        </w:trPr>
        <w:tc>
          <w:tcPr>
            <w:tcW w:w="1885" w:type="dxa"/>
            <w:shd w:val="clear" w:color="auto" w:fill="0075BF" w:themeFill="text2"/>
            <w:hideMark/>
          </w:tcPr>
          <w:p w14:paraId="4F6B9383" w14:textId="77777777" w:rsidR="00FB39E2" w:rsidRPr="00C65AA2" w:rsidRDefault="00FB39E2" w:rsidP="001D0AA8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0075BF" w:themeFill="text2"/>
            <w:vAlign w:val="center"/>
            <w:hideMark/>
          </w:tcPr>
          <w:p w14:paraId="6D06E2BA" w14:textId="77777777" w:rsidR="00FB39E2" w:rsidRPr="00C65AA2" w:rsidRDefault="00FB39E2" w:rsidP="00CA7B3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65AA2">
              <w:rPr>
                <w:b/>
                <w:color w:val="FFFFFF" w:themeColor="background1"/>
                <w:bdr w:val="none" w:sz="0" w:space="0" w:color="auto" w:frame="1"/>
              </w:rPr>
              <w:t>Compress Required</w:t>
            </w:r>
          </w:p>
        </w:tc>
        <w:tc>
          <w:tcPr>
            <w:tcW w:w="3192" w:type="dxa"/>
            <w:shd w:val="clear" w:color="auto" w:fill="0075BF" w:themeFill="text2"/>
            <w:vAlign w:val="center"/>
            <w:hideMark/>
          </w:tcPr>
          <w:p w14:paraId="3C34E71E" w14:textId="77777777" w:rsidR="00FB39E2" w:rsidRPr="00C65AA2" w:rsidRDefault="00FB39E2" w:rsidP="00CA7B3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65AA2">
              <w:rPr>
                <w:b/>
                <w:color w:val="FFFFFF" w:themeColor="background1"/>
                <w:bdr w:val="none" w:sz="0" w:space="0" w:color="auto" w:frame="1"/>
              </w:rPr>
              <w:t>Actions</w:t>
            </w:r>
          </w:p>
        </w:tc>
        <w:tc>
          <w:tcPr>
            <w:tcW w:w="3193" w:type="dxa"/>
            <w:shd w:val="clear" w:color="auto" w:fill="0075BF" w:themeFill="text2"/>
            <w:vAlign w:val="center"/>
            <w:hideMark/>
          </w:tcPr>
          <w:p w14:paraId="549332F4" w14:textId="77777777" w:rsidR="00FB39E2" w:rsidRPr="00C65AA2" w:rsidRDefault="00FB39E2" w:rsidP="00CA7B3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C65AA2">
              <w:rPr>
                <w:b/>
                <w:color w:val="FFFFFF" w:themeColor="background1"/>
                <w:bdr w:val="none" w:sz="0" w:space="0" w:color="auto" w:frame="1"/>
              </w:rPr>
              <w:t>Rationale</w:t>
            </w:r>
          </w:p>
        </w:tc>
      </w:tr>
      <w:tr w:rsidR="00FB39E2" w:rsidRPr="006220CB" w14:paraId="79AEB81F" w14:textId="77777777" w:rsidTr="00CA7B35">
        <w:trPr>
          <w:trHeight w:val="5472"/>
        </w:trPr>
        <w:tc>
          <w:tcPr>
            <w:tcW w:w="1885" w:type="dxa"/>
            <w:hideMark/>
          </w:tcPr>
          <w:p w14:paraId="33DD9DC3" w14:textId="77777777" w:rsidR="00FB39E2" w:rsidRPr="006220CB" w:rsidRDefault="00FB39E2" w:rsidP="001D0AA8">
            <w:pPr>
              <w:pStyle w:val="NoSpacing"/>
            </w:pPr>
            <w:r w:rsidRPr="006220CB">
              <w:t>Dactinomycin</w:t>
            </w:r>
          </w:p>
          <w:p w14:paraId="57FA08DF" w14:textId="77777777" w:rsidR="00FB39E2" w:rsidRPr="006220CB" w:rsidRDefault="00FB39E2" w:rsidP="001D0AA8">
            <w:pPr>
              <w:pStyle w:val="NoSpacing"/>
            </w:pPr>
            <w:proofErr w:type="spellStart"/>
            <w:r w:rsidRPr="006220CB">
              <w:t>DAUNOmycin</w:t>
            </w:r>
            <w:proofErr w:type="spellEnd"/>
          </w:p>
          <w:p w14:paraId="2E333458" w14:textId="77777777" w:rsidR="00FB39E2" w:rsidRPr="006220CB" w:rsidRDefault="00FB39E2" w:rsidP="001D0AA8">
            <w:pPr>
              <w:pStyle w:val="NoSpacing"/>
            </w:pPr>
            <w:r w:rsidRPr="006220CB">
              <w:t>(</w:t>
            </w:r>
            <w:proofErr w:type="spellStart"/>
            <w:r w:rsidRPr="006220CB">
              <w:t>DAUNOrubicin</w:t>
            </w:r>
            <w:proofErr w:type="spellEnd"/>
            <w:r w:rsidRPr="006220CB">
              <w:t>)</w:t>
            </w:r>
          </w:p>
          <w:p w14:paraId="7D6BEBEE" w14:textId="77777777" w:rsidR="00FB39E2" w:rsidRDefault="00FB39E2" w:rsidP="001D0AA8">
            <w:pPr>
              <w:pStyle w:val="NoSpacing"/>
            </w:pPr>
            <w:proofErr w:type="spellStart"/>
            <w:r w:rsidRPr="006220CB">
              <w:t>DOXOrubicin</w:t>
            </w:r>
            <w:proofErr w:type="spellEnd"/>
          </w:p>
          <w:p w14:paraId="3047131B" w14:textId="77777777" w:rsidR="00FB39E2" w:rsidRPr="006220CB" w:rsidRDefault="00FB39E2" w:rsidP="001D0AA8">
            <w:pPr>
              <w:pStyle w:val="NoSpacing"/>
            </w:pPr>
            <w:proofErr w:type="spellStart"/>
            <w:r w:rsidRPr="006220CB">
              <w:t>Epirubicin</w:t>
            </w:r>
            <w:proofErr w:type="spellEnd"/>
          </w:p>
          <w:p w14:paraId="31B4C036" w14:textId="77777777" w:rsidR="00FB39E2" w:rsidRPr="006220CB" w:rsidRDefault="00FB39E2" w:rsidP="001D0AA8">
            <w:pPr>
              <w:pStyle w:val="NoSpacing"/>
            </w:pPr>
            <w:r>
              <w:t>Mitoxantrone</w:t>
            </w:r>
          </w:p>
        </w:tc>
        <w:tc>
          <w:tcPr>
            <w:tcW w:w="1080" w:type="dxa"/>
            <w:hideMark/>
          </w:tcPr>
          <w:p w14:paraId="7E3EA371" w14:textId="77777777" w:rsidR="00FB39E2" w:rsidRPr="006220CB" w:rsidRDefault="00FB39E2" w:rsidP="001D0AA8">
            <w:pPr>
              <w:pStyle w:val="NoSpacing"/>
            </w:pPr>
            <w:r w:rsidRPr="006220CB">
              <w:t>COLD</w:t>
            </w:r>
          </w:p>
        </w:tc>
        <w:tc>
          <w:tcPr>
            <w:tcW w:w="3192" w:type="dxa"/>
            <w:hideMark/>
          </w:tcPr>
          <w:p w14:paraId="44111F5C" w14:textId="77777777" w:rsidR="00FB39E2" w:rsidRDefault="00FB39E2" w:rsidP="00FB39E2">
            <w:pPr>
              <w:pStyle w:val="NoSpacing"/>
              <w:numPr>
                <w:ilvl w:val="0"/>
                <w:numId w:val="5"/>
              </w:numPr>
            </w:pPr>
            <w:r w:rsidRPr="006220CB">
              <w:t>Remove the IV/port needle.</w:t>
            </w:r>
          </w:p>
          <w:p w14:paraId="5FECE942" w14:textId="77777777" w:rsidR="00FB39E2" w:rsidRPr="006220CB" w:rsidRDefault="00FB39E2" w:rsidP="00FB39E2">
            <w:pPr>
              <w:pStyle w:val="NoSpacing"/>
              <w:numPr>
                <w:ilvl w:val="0"/>
                <w:numId w:val="5"/>
              </w:numPr>
            </w:pPr>
            <w:r>
              <w:t>Apply cold pack initially for 30–60 minutes. Remove 15 minutes prior to application of DMSO.</w:t>
            </w:r>
          </w:p>
          <w:p w14:paraId="1EBD64D7" w14:textId="5A398A88" w:rsidR="00FB39E2" w:rsidRPr="006220CB" w:rsidRDefault="00FB39E2" w:rsidP="00FB39E2">
            <w:pPr>
              <w:pStyle w:val="NoSpacing"/>
              <w:numPr>
                <w:ilvl w:val="0"/>
                <w:numId w:val="5"/>
              </w:numPr>
            </w:pPr>
            <w:r w:rsidRPr="006220CB">
              <w:t>A</w:t>
            </w:r>
            <w:r w:rsidR="007D7EAA">
              <w:t>pply DMSO 50</w:t>
            </w:r>
            <w:r>
              <w:t xml:space="preserve">% </w:t>
            </w:r>
            <w:r w:rsidRPr="006220CB">
              <w:t>(Dimethyl sulfoxide) topical solution to an area twice that affected by extravasation (approximately 1.5 mL).</w:t>
            </w:r>
          </w:p>
          <w:p w14:paraId="62D25A1B" w14:textId="77777777" w:rsidR="00FB39E2" w:rsidRPr="006220CB" w:rsidRDefault="00FB39E2" w:rsidP="00FB39E2">
            <w:pPr>
              <w:pStyle w:val="NoSpacing"/>
              <w:numPr>
                <w:ilvl w:val="0"/>
                <w:numId w:val="5"/>
              </w:numPr>
            </w:pPr>
            <w:r w:rsidRPr="006220CB">
              <w:t>Allow DMSO to air dry. Do not cover and repeat QID for at least 7 days.</w:t>
            </w:r>
          </w:p>
          <w:p w14:paraId="3AD79B05" w14:textId="77777777" w:rsidR="00FB39E2" w:rsidRPr="006220CB" w:rsidRDefault="00FB39E2" w:rsidP="00FB39E2">
            <w:pPr>
              <w:pStyle w:val="NoSpacing"/>
              <w:numPr>
                <w:ilvl w:val="0"/>
                <w:numId w:val="5"/>
              </w:numPr>
            </w:pPr>
            <w:r w:rsidRPr="006220CB">
              <w:t>Elevate limb and apply gentle pressure to site.</w:t>
            </w:r>
          </w:p>
          <w:p w14:paraId="7C62E727" w14:textId="2B8BF13C" w:rsidR="00FB39E2" w:rsidRPr="006220CB" w:rsidRDefault="00FB39E2" w:rsidP="00FB39E2">
            <w:pPr>
              <w:pStyle w:val="NoSpacing"/>
              <w:numPr>
                <w:ilvl w:val="0"/>
                <w:numId w:val="5"/>
              </w:numPr>
            </w:pPr>
            <w:r w:rsidRPr="006220CB">
              <w:t xml:space="preserve">Apply ice pack wrapped in towel or cold compresses to the extravasation site for 1 </w:t>
            </w:r>
            <w:r w:rsidR="003C1403" w:rsidRPr="006220CB">
              <w:t>hr.</w:t>
            </w:r>
            <w:r>
              <w:t>; continue cold compresses x 15–20 min, QID for 24–48 hrs. </w:t>
            </w:r>
            <w:r w:rsidRPr="006220CB">
              <w:t>Care must be taken to avoid tissue injury from excessive cold.</w:t>
            </w:r>
          </w:p>
        </w:tc>
        <w:tc>
          <w:tcPr>
            <w:tcW w:w="3193" w:type="dxa"/>
            <w:hideMark/>
          </w:tcPr>
          <w:p w14:paraId="794AC949" w14:textId="77777777" w:rsidR="00FB39E2" w:rsidRDefault="00FB39E2" w:rsidP="001D0AA8">
            <w:pPr>
              <w:pStyle w:val="NoSpacing"/>
            </w:pPr>
            <w:r w:rsidRPr="006220CB">
              <w:t>DMSO speeds up removal of the drug from the tissue and is a free-radical scavenger.</w:t>
            </w:r>
          </w:p>
          <w:p w14:paraId="4518FB1E" w14:textId="77777777" w:rsidR="00FB39E2" w:rsidRDefault="00FB39E2" w:rsidP="001D0AA8">
            <w:pPr>
              <w:pStyle w:val="NoSpacing"/>
            </w:pPr>
            <w:r w:rsidRPr="006220CB">
              <w:t>Air-drying is required as DMSO may cause blisters with occlusions.</w:t>
            </w:r>
          </w:p>
          <w:p w14:paraId="6A6682A4" w14:textId="77777777" w:rsidR="00FB39E2" w:rsidRPr="006220CB" w:rsidRDefault="00FB39E2" w:rsidP="001D0AA8">
            <w:pPr>
              <w:pStyle w:val="NoSpacing"/>
            </w:pPr>
            <w:r w:rsidRPr="006220CB">
              <w:t>Cold compresses cause vasoconstriction and decrease fluid absorption.</w:t>
            </w:r>
          </w:p>
        </w:tc>
      </w:tr>
      <w:tr w:rsidR="00FB39E2" w:rsidRPr="006220CB" w14:paraId="30CFF4E4" w14:textId="77777777" w:rsidTr="00CA7B35">
        <w:trPr>
          <w:trHeight w:val="4752"/>
        </w:trPr>
        <w:tc>
          <w:tcPr>
            <w:tcW w:w="1885" w:type="dxa"/>
            <w:hideMark/>
          </w:tcPr>
          <w:p w14:paraId="3EDA88B4" w14:textId="77777777" w:rsidR="00FB39E2" w:rsidRPr="006220CB" w:rsidRDefault="00FB39E2" w:rsidP="001D0AA8">
            <w:pPr>
              <w:pStyle w:val="NoSpacing"/>
            </w:pPr>
            <w:proofErr w:type="spellStart"/>
            <w:r w:rsidRPr="006220CB">
              <w:t>VinBLAStine</w:t>
            </w:r>
            <w:proofErr w:type="spellEnd"/>
          </w:p>
          <w:p w14:paraId="60BB3C94" w14:textId="77777777" w:rsidR="00FB39E2" w:rsidRPr="006220CB" w:rsidRDefault="00FB39E2" w:rsidP="001D0AA8">
            <w:pPr>
              <w:pStyle w:val="NoSpacing"/>
            </w:pPr>
            <w:proofErr w:type="spellStart"/>
            <w:r w:rsidRPr="006220CB">
              <w:t>VinCRIStine</w:t>
            </w:r>
            <w:proofErr w:type="spellEnd"/>
          </w:p>
          <w:p w14:paraId="0A0FD5C8" w14:textId="77777777" w:rsidR="00FB39E2" w:rsidRPr="006220CB" w:rsidRDefault="00FB39E2" w:rsidP="001D0AA8">
            <w:pPr>
              <w:pStyle w:val="NoSpacing"/>
            </w:pPr>
            <w:r w:rsidRPr="006220CB">
              <w:t>Vinorelbine</w:t>
            </w:r>
          </w:p>
        </w:tc>
        <w:tc>
          <w:tcPr>
            <w:tcW w:w="1080" w:type="dxa"/>
            <w:hideMark/>
          </w:tcPr>
          <w:p w14:paraId="1C890F3C" w14:textId="77777777" w:rsidR="00FB39E2" w:rsidRPr="006220CB" w:rsidRDefault="00FB39E2" w:rsidP="001D0AA8">
            <w:pPr>
              <w:pStyle w:val="NoSpacing"/>
            </w:pPr>
            <w:r w:rsidRPr="006220CB">
              <w:t>WARM</w:t>
            </w:r>
          </w:p>
        </w:tc>
        <w:tc>
          <w:tcPr>
            <w:tcW w:w="3192" w:type="dxa"/>
            <w:hideMark/>
          </w:tcPr>
          <w:p w14:paraId="511A1F67" w14:textId="77777777" w:rsidR="00FB39E2" w:rsidRPr="006220CB" w:rsidRDefault="00FB39E2" w:rsidP="00FB39E2">
            <w:pPr>
              <w:pStyle w:val="NoSpacing"/>
              <w:numPr>
                <w:ilvl w:val="0"/>
                <w:numId w:val="6"/>
              </w:numPr>
            </w:pPr>
            <w:r>
              <w:t>R</w:t>
            </w:r>
            <w:r w:rsidRPr="006220CB">
              <w:t>emove IV/port needle</w:t>
            </w:r>
            <w:r>
              <w:t>.</w:t>
            </w:r>
          </w:p>
          <w:p w14:paraId="72338B81" w14:textId="24F743E7" w:rsidR="00FB39E2" w:rsidRPr="006220CB" w:rsidRDefault="00FB39E2" w:rsidP="00FB39E2">
            <w:pPr>
              <w:pStyle w:val="NoSpacing"/>
              <w:numPr>
                <w:ilvl w:val="0"/>
                <w:numId w:val="6"/>
              </w:numPr>
            </w:pPr>
            <w:r w:rsidRPr="006220CB">
              <w:t xml:space="preserve">MD to administer antidote*: hyaluronidase 1500 units dissolved in 1 mL of either sterile water for injection or normal saline injection infiltrated into affected area subcutaneous in a clockwise fashion in </w:t>
            </w:r>
            <w:r>
              <w:t>divided doses around the site (</w:t>
            </w:r>
            <w:r w:rsidRPr="006220CB">
              <w:t>as soon as possible after extravasation).</w:t>
            </w:r>
            <w:r w:rsidR="00DC4420" w:rsidRPr="006220CB" w:rsidDel="00DC4420">
              <w:rPr>
                <w:sz w:val="15"/>
                <w:szCs w:val="15"/>
                <w:bdr w:val="none" w:sz="0" w:space="0" w:color="auto" w:frame="1"/>
                <w:vertAlign w:val="superscript"/>
              </w:rPr>
              <w:t xml:space="preserve"> </w:t>
            </w:r>
          </w:p>
          <w:p w14:paraId="3E7BD2F1" w14:textId="77777777" w:rsidR="00FB39E2" w:rsidRPr="006220CB" w:rsidRDefault="00FB39E2" w:rsidP="00FB39E2">
            <w:pPr>
              <w:pStyle w:val="NoSpacing"/>
              <w:numPr>
                <w:ilvl w:val="0"/>
                <w:numId w:val="6"/>
              </w:numPr>
            </w:pPr>
            <w:r w:rsidRPr="006220CB">
              <w:t>Elevate limb and apply pressure to site</w:t>
            </w:r>
            <w:r>
              <w:t>.</w:t>
            </w:r>
          </w:p>
          <w:p w14:paraId="2F5843CA" w14:textId="77777777" w:rsidR="00FB39E2" w:rsidRPr="006220CB" w:rsidRDefault="00FB39E2" w:rsidP="00FB39E2">
            <w:pPr>
              <w:pStyle w:val="NoSpacing"/>
              <w:numPr>
                <w:ilvl w:val="0"/>
                <w:numId w:val="6"/>
              </w:numPr>
            </w:pPr>
            <w:r w:rsidRPr="006220CB">
              <w:t xml:space="preserve">Apply warm compresses to extravasation site for 1 </w:t>
            </w:r>
            <w:proofErr w:type="spellStart"/>
            <w:r w:rsidRPr="006220CB">
              <w:t>hr</w:t>
            </w:r>
            <w:proofErr w:type="spellEnd"/>
            <w:r w:rsidRPr="006220CB">
              <w:t>; continue warm compresses 15</w:t>
            </w:r>
            <w:r>
              <w:t>–</w:t>
            </w:r>
            <w:r w:rsidRPr="006220CB">
              <w:t xml:space="preserve">20 min </w:t>
            </w:r>
            <w:r>
              <w:t>QID for 24–</w:t>
            </w:r>
            <w:r w:rsidRPr="006220CB">
              <w:t>48 hrs. Care must be taken to avoid injury from excessive heat.</w:t>
            </w:r>
          </w:p>
        </w:tc>
        <w:tc>
          <w:tcPr>
            <w:tcW w:w="3193" w:type="dxa"/>
            <w:hideMark/>
          </w:tcPr>
          <w:p w14:paraId="682D66DC" w14:textId="77777777" w:rsidR="00FB39E2" w:rsidRPr="006220CB" w:rsidRDefault="00FB39E2" w:rsidP="001D0AA8">
            <w:pPr>
              <w:pStyle w:val="NoSpacing"/>
            </w:pPr>
            <w:r w:rsidRPr="006220CB">
              <w:t>Cooling may have adverse effect</w:t>
            </w:r>
            <w:r>
              <w:t>.</w:t>
            </w:r>
          </w:p>
        </w:tc>
      </w:tr>
    </w:tbl>
    <w:p w14:paraId="5C4BD925" w14:textId="77777777" w:rsidR="00FB39E2" w:rsidRDefault="00FB39E2" w:rsidP="00CA7B35">
      <w:pPr>
        <w:pStyle w:val="Heading2"/>
      </w:pPr>
      <w:r>
        <w:lastRenderedPageBreak/>
        <w:t>Supply of Antidotes</w:t>
      </w:r>
    </w:p>
    <w:p w14:paraId="64D64B96" w14:textId="77777777" w:rsidR="00FB39E2" w:rsidRDefault="00FB39E2" w:rsidP="00CA7B35">
      <w:r>
        <w:t>A supply of antidotes should be readily available and maintained in areas where chemotherapy is administered for easy access.</w:t>
      </w:r>
    </w:p>
    <w:p w14:paraId="0C1EAFF5" w14:textId="0D60059B" w:rsidR="00FB39E2" w:rsidRDefault="00FB39E2" w:rsidP="00CA7B35">
      <w:r w:rsidRPr="00843192">
        <w:rPr>
          <w:b/>
        </w:rPr>
        <w:t>Hyaluronidase (</w:t>
      </w:r>
      <w:r>
        <w:rPr>
          <w:b/>
        </w:rPr>
        <w:t>s</w:t>
      </w:r>
      <w:r w:rsidRPr="00843192">
        <w:rPr>
          <w:b/>
        </w:rPr>
        <w:t>ee table above)*</w:t>
      </w:r>
      <w:r>
        <w:rPr>
          <w:b/>
        </w:rPr>
        <w:t>:</w:t>
      </w:r>
      <w:r>
        <w:t xml:space="preserve"> 1500 units’ injection is a Special Access Medication. A future use supply should be kept in the Pharmacy so that doses may be administered as soon as they are ordered. A Special Access request form must be submitted within 24 hours.</w:t>
      </w:r>
    </w:p>
    <w:p w14:paraId="10510427" w14:textId="77777777" w:rsidR="00FB39E2" w:rsidRPr="00843192" w:rsidRDefault="00FB39E2" w:rsidP="00CA7B35">
      <w:pPr>
        <w:rPr>
          <w:i/>
        </w:rPr>
      </w:pPr>
      <w:r w:rsidRPr="00843192">
        <w:rPr>
          <w:b/>
        </w:rPr>
        <w:t>NOTE:</w:t>
      </w:r>
      <w:r w:rsidRPr="00843192">
        <w:rPr>
          <w:i/>
        </w:rPr>
        <w:t xml:space="preserve"> For drugs and antidotes not listed please consult Pharmacy. For non-vesicant/irritant antineoplastic drugs please refer to your hospital guidelines on the treatment for extravasation.</w:t>
      </w:r>
    </w:p>
    <w:p w14:paraId="0F18FDD9" w14:textId="31031656" w:rsidR="00FB39E2" w:rsidRPr="005069A4" w:rsidRDefault="00FB39E2" w:rsidP="00CA7B35">
      <w:r>
        <w:t xml:space="preserve">The superiority of dexrazoxane over DMSO has not been established. Dexrazoxane is not included in this </w:t>
      </w:r>
      <w:r w:rsidR="0041427D">
        <w:t xml:space="preserve">guidance document </w:t>
      </w:r>
      <w:r>
        <w:t xml:space="preserve">and </w:t>
      </w:r>
      <w:bookmarkStart w:id="0" w:name="_GoBack"/>
      <w:bookmarkEnd w:id="0"/>
      <w:r>
        <w:t xml:space="preserve">DMSO remains the standard of care for anthracycline extravasation. </w:t>
      </w:r>
    </w:p>
    <w:p w14:paraId="29BC57E3" w14:textId="165A8479" w:rsidR="000B7848" w:rsidRDefault="00512F39" w:rsidP="00512F39">
      <w:pPr>
        <w:shd w:val="clear" w:color="auto" w:fill="FFFFFF"/>
        <w:spacing w:after="0" w:line="240" w:lineRule="auto"/>
        <w:textAlignment w:val="baseline"/>
        <w:rPr>
          <w:lang w:val="en-CA"/>
        </w:rPr>
      </w:pPr>
      <w:r w:rsidRPr="00C72FC2">
        <w:rPr>
          <w:rFonts w:ascii="Calibri" w:hAnsi="Calibri" w:cs="Calibri"/>
          <w:color w:val="000000"/>
        </w:rPr>
        <w:t xml:space="preserve">This guidance document was developed by </w:t>
      </w:r>
      <w:r w:rsidRPr="00C72FC2">
        <w:rPr>
          <w:rFonts w:eastAsia="Times New Roman" w:cs="Arial"/>
        </w:rPr>
        <w:t xml:space="preserve">Ms. Julie Dowler, Ms. Denise </w:t>
      </w:r>
      <w:proofErr w:type="spellStart"/>
      <w:r w:rsidRPr="00C72FC2">
        <w:rPr>
          <w:rFonts w:eastAsia="Times New Roman" w:cs="Arial"/>
        </w:rPr>
        <w:t>Reniers</w:t>
      </w:r>
      <w:proofErr w:type="spellEnd"/>
      <w:r w:rsidRPr="00C72FC2">
        <w:rPr>
          <w:rFonts w:eastAsia="Times New Roman" w:cs="Arial"/>
        </w:rPr>
        <w:t xml:space="preserve"> and Ms. Anne Chambers, Children’s Hospital, London Health Sciences Centre, London, </w:t>
      </w:r>
      <w:r w:rsidRPr="00C72FC2">
        <w:rPr>
          <w:rFonts w:ascii="Calibri" w:hAnsi="Calibri" w:cs="Calibri"/>
          <w:color w:val="000000"/>
        </w:rPr>
        <w:t xml:space="preserve">in consultation with </w:t>
      </w:r>
      <w:r w:rsidRPr="00C72FC2">
        <w:rPr>
          <w:rFonts w:ascii="Calibri" w:eastAsia="Calibri" w:hAnsi="Calibri" w:cs="Calibri"/>
          <w:bCs/>
        </w:rPr>
        <w:t>Ms. Lisa Honeyford, The Hospital for Sick Children, Ms. Kirsty Morelli, Scarborough Health Network and Ms. Mary Jo Decourcy, Lond</w:t>
      </w:r>
      <w:r>
        <w:rPr>
          <w:rFonts w:ascii="Calibri" w:eastAsia="Calibri" w:hAnsi="Calibri" w:cs="Calibri"/>
          <w:bCs/>
        </w:rPr>
        <w:t xml:space="preserve">on Health Sciences Centre, </w:t>
      </w:r>
      <w:r w:rsidR="000B7848" w:rsidRPr="00D14B1D">
        <w:rPr>
          <w:lang w:val="en-CA"/>
        </w:rPr>
        <w:t xml:space="preserve">based on the sources </w:t>
      </w:r>
      <w:r w:rsidR="000B7848">
        <w:rPr>
          <w:lang w:val="en-CA"/>
        </w:rPr>
        <w:t xml:space="preserve">in </w:t>
      </w:r>
      <w:hyperlink r:id="rId7" w:history="1">
        <w:r w:rsidRPr="00F26F72">
          <w:rPr>
            <w:rStyle w:val="Hyperlink"/>
            <w:rFonts w:asciiTheme="minorHAnsi" w:hAnsiTheme="minorHAnsi"/>
            <w:lang w:val="en-CA"/>
          </w:rPr>
          <w:t>Sub-Section 3.3.4</w:t>
        </w:r>
      </w:hyperlink>
      <w:r w:rsidR="000B7848" w:rsidRPr="00D14B1D">
        <w:rPr>
          <w:lang w:val="en-CA"/>
        </w:rPr>
        <w:t>.</w:t>
      </w:r>
    </w:p>
    <w:p w14:paraId="73BBB3D3" w14:textId="77777777" w:rsidR="00512F39" w:rsidRPr="00512F39" w:rsidRDefault="00512F39" w:rsidP="00512F39">
      <w:pPr>
        <w:shd w:val="clear" w:color="auto" w:fill="FFFFFF"/>
        <w:spacing w:after="0" w:line="240" w:lineRule="auto"/>
        <w:textAlignment w:val="baseline"/>
        <w:rPr>
          <w:rFonts w:eastAsia="Times New Roman"/>
        </w:rPr>
      </w:pPr>
    </w:p>
    <w:p w14:paraId="4CCF31B7" w14:textId="5C66DC22" w:rsidR="00FB39E2" w:rsidRPr="000F07E3" w:rsidRDefault="00FB39E2" w:rsidP="00916395">
      <w:pPr>
        <w:pStyle w:val="Heading3"/>
        <w:rPr>
          <w:lang w:val="en-CA"/>
        </w:rPr>
      </w:pPr>
      <w:r w:rsidRPr="000F07E3">
        <w:rPr>
          <w:lang w:val="en-CA"/>
        </w:rPr>
        <w:t>Disclaimer</w:t>
      </w:r>
      <w:r>
        <w:rPr>
          <w:lang w:val="en-CA"/>
        </w:rPr>
        <w:t>: Source Accuracy</w:t>
      </w:r>
    </w:p>
    <w:p w14:paraId="43B3290C" w14:textId="571A3607" w:rsidR="00FB39E2" w:rsidRDefault="00FB39E2" w:rsidP="00A31972">
      <w:pPr>
        <w:rPr>
          <w:lang w:val="en-CA"/>
        </w:rPr>
      </w:pPr>
      <w:r>
        <w:rPr>
          <w:lang w:val="en-CA"/>
        </w:rPr>
        <w:t xml:space="preserve">You are welcome to download and save a local copy of this document in the Word and/or PDF formats provided. As the POGO Satellite Manual is subject to ongoing revisions and updates by POGO, we recommend you regularly check the online version posted at </w:t>
      </w:r>
      <w:hyperlink r:id="rId8" w:history="1">
        <w:r w:rsidRPr="00A527CE">
          <w:rPr>
            <w:rStyle w:val="Hyperlink"/>
            <w:lang w:val="en-CA"/>
          </w:rPr>
          <w:t>https://www.pogo.ca/satellite-manual/</w:t>
        </w:r>
      </w:hyperlink>
      <w:r>
        <w:rPr>
          <w:lang w:val="en-CA"/>
        </w:rPr>
        <w:t xml:space="preserve"> to ensure you have the most up-to-date content. In the event of any inconsistency between the content of a local copy and the online version of the POGO Satellite Manual, the content of the online version shall be considered correct. Please see also the </w:t>
      </w:r>
      <w:hyperlink r:id="rId9" w:history="1">
        <w:r w:rsidRPr="00DA6755">
          <w:rPr>
            <w:rStyle w:val="Hyperlink"/>
            <w:lang w:val="en-CA"/>
          </w:rPr>
          <w:t>POGO Satellite Manual Disclaimer</w:t>
        </w:r>
      </w:hyperlink>
      <w:r>
        <w:rPr>
          <w:lang w:val="en-CA"/>
        </w:rPr>
        <w:t>.</w:t>
      </w:r>
    </w:p>
    <w:p w14:paraId="4B3A9CF5" w14:textId="77777777" w:rsidR="00FB39E2" w:rsidRPr="00A5497E" w:rsidRDefault="00FB39E2" w:rsidP="00916395">
      <w:pPr>
        <w:pStyle w:val="Heading3"/>
        <w:rPr>
          <w:lang w:val="en-CA"/>
        </w:rPr>
      </w:pPr>
      <w:r w:rsidRPr="00A5497E">
        <w:rPr>
          <w:lang w:val="en-CA"/>
        </w:rPr>
        <w:t>Record of Updates</w:t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FB39E2" w14:paraId="03E8DACA" w14:textId="77777777" w:rsidTr="001D0AA8">
        <w:tc>
          <w:tcPr>
            <w:tcW w:w="1885" w:type="dxa"/>
            <w:shd w:val="clear" w:color="auto" w:fill="0075BF" w:themeFill="text2"/>
          </w:tcPr>
          <w:p w14:paraId="22A4368D" w14:textId="77777777" w:rsidR="00FB39E2" w:rsidRPr="00916395" w:rsidRDefault="00FB39E2" w:rsidP="0091639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916395">
              <w:rPr>
                <w:b/>
                <w:color w:val="FFFFFF" w:themeColor="background1"/>
              </w:rPr>
              <w:t>Version Number</w:t>
            </w:r>
          </w:p>
        </w:tc>
        <w:tc>
          <w:tcPr>
            <w:tcW w:w="1800" w:type="dxa"/>
            <w:shd w:val="clear" w:color="auto" w:fill="0075BF" w:themeFill="text2"/>
          </w:tcPr>
          <w:p w14:paraId="10CD8702" w14:textId="77777777" w:rsidR="00FB39E2" w:rsidRPr="00916395" w:rsidRDefault="00FB39E2" w:rsidP="0091639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916395">
              <w:rPr>
                <w:b/>
                <w:color w:val="FFFFFF" w:themeColor="background1"/>
              </w:rPr>
              <w:t>Date of Effect</w:t>
            </w:r>
          </w:p>
        </w:tc>
        <w:tc>
          <w:tcPr>
            <w:tcW w:w="5665" w:type="dxa"/>
            <w:shd w:val="clear" w:color="auto" w:fill="0075BF" w:themeFill="text2"/>
          </w:tcPr>
          <w:p w14:paraId="37C10BA7" w14:textId="77777777" w:rsidR="00FB39E2" w:rsidRPr="00916395" w:rsidRDefault="00FB39E2" w:rsidP="0091639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916395">
              <w:rPr>
                <w:b/>
                <w:color w:val="FFFFFF" w:themeColor="background1"/>
              </w:rPr>
              <w:t>Summary of Revisions</w:t>
            </w:r>
          </w:p>
        </w:tc>
      </w:tr>
      <w:tr w:rsidR="00FB39E2" w14:paraId="430B15A9" w14:textId="77777777" w:rsidTr="001D0AA8">
        <w:tc>
          <w:tcPr>
            <w:tcW w:w="1885" w:type="dxa"/>
          </w:tcPr>
          <w:p w14:paraId="171E380C" w14:textId="77777777" w:rsidR="00FB39E2" w:rsidRDefault="00FB39E2" w:rsidP="009163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800" w:type="dxa"/>
          </w:tcPr>
          <w:p w14:paraId="7D58F4D4" w14:textId="518F224E" w:rsidR="00FB39E2" w:rsidRDefault="00FD2E8C" w:rsidP="009163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6/28/2021</w:t>
            </w:r>
          </w:p>
        </w:tc>
        <w:tc>
          <w:tcPr>
            <w:tcW w:w="5665" w:type="dxa"/>
          </w:tcPr>
          <w:p w14:paraId="58B56C5D" w14:textId="77777777" w:rsidR="00FB39E2" w:rsidRPr="00A5497E" w:rsidRDefault="00FB39E2" w:rsidP="00FB39E2">
            <w:pPr>
              <w:pStyle w:val="NoSpacing"/>
              <w:numPr>
                <w:ilvl w:val="0"/>
                <w:numId w:val="4"/>
              </w:numPr>
              <w:rPr>
                <w:lang w:val="en-CA"/>
              </w:rPr>
            </w:pPr>
            <w:r w:rsidRPr="00A5497E">
              <w:rPr>
                <w:lang w:val="en-CA"/>
              </w:rPr>
              <w:t>Original version posted.</w:t>
            </w:r>
          </w:p>
        </w:tc>
      </w:tr>
    </w:tbl>
    <w:p w14:paraId="12354109" w14:textId="77777777" w:rsidR="00916395" w:rsidRPr="00916395" w:rsidRDefault="00916395" w:rsidP="00A31972">
      <w:pPr>
        <w:rPr>
          <w:lang w:val="en-CA"/>
        </w:rPr>
      </w:pPr>
    </w:p>
    <w:sectPr w:rsidR="00916395" w:rsidRPr="00916395" w:rsidSect="00C7638B">
      <w:headerReference w:type="default" r:id="rId10"/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38EF" w14:textId="77777777" w:rsidR="007F6C85" w:rsidRDefault="007F6C85" w:rsidP="009C56FA">
      <w:pPr>
        <w:spacing w:after="0" w:line="240" w:lineRule="auto"/>
      </w:pPr>
      <w:r>
        <w:separator/>
      </w:r>
    </w:p>
  </w:endnote>
  <w:endnote w:type="continuationSeparator" w:id="0">
    <w:p w14:paraId="16DDD9D0" w14:textId="77777777" w:rsidR="007F6C85" w:rsidRDefault="007F6C85" w:rsidP="009C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5F357" w14:textId="69A6E11B" w:rsidR="007F6C85" w:rsidRDefault="007F6C85">
    <w:pPr>
      <w:pStyle w:val="Foo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5288543" wp14:editId="6E8D339A">
          <wp:simplePos x="0" y="0"/>
          <wp:positionH relativeFrom="column">
            <wp:posOffset>5724525</wp:posOffset>
          </wp:positionH>
          <wp:positionV relativeFrom="paragraph">
            <wp:posOffset>-377825</wp:posOffset>
          </wp:positionV>
          <wp:extent cx="355600" cy="9144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NumberTab_compl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06">
      <w:rPr>
        <w:b/>
      </w:rPr>
      <w:fldChar w:fldCharType="begin"/>
    </w:r>
    <w:r w:rsidRPr="00406206">
      <w:rPr>
        <w:b/>
      </w:rPr>
      <w:instrText xml:space="preserve"> FILENAME   \* MERGEFORMAT </w:instrText>
    </w:r>
    <w:r w:rsidRPr="00406206">
      <w:rPr>
        <w:b/>
      </w:rPr>
      <w:fldChar w:fldCharType="separate"/>
    </w:r>
    <w:r w:rsidR="00F26F72">
      <w:rPr>
        <w:b/>
        <w:noProof/>
      </w:rPr>
      <w:t>3.3.2 Antidotes and Treatment for Extravasation.docx</w:t>
    </w:r>
    <w:r w:rsidRPr="00406206">
      <w:rPr>
        <w:b/>
      </w:rPr>
      <w:fldChar w:fldCharType="end"/>
    </w:r>
    <w:r>
      <w:ptab w:relativeTo="margin" w:alignment="right" w:leader="none"/>
    </w:r>
    <w:r w:rsidRPr="009D1835">
      <w:rPr>
        <w:b/>
        <w:color w:val="FFFFFF" w:themeColor="background1"/>
      </w:rPr>
      <w:fldChar w:fldCharType="begin"/>
    </w:r>
    <w:r w:rsidRPr="009D1835">
      <w:rPr>
        <w:b/>
        <w:color w:val="FFFFFF" w:themeColor="background1"/>
      </w:rPr>
      <w:instrText xml:space="preserve"> PAGE  \* Arabic  \* MERGEFORMAT </w:instrText>
    </w:r>
    <w:r w:rsidRPr="009D1835">
      <w:rPr>
        <w:b/>
        <w:color w:val="FFFFFF" w:themeColor="background1"/>
      </w:rPr>
      <w:fldChar w:fldCharType="separate"/>
    </w:r>
    <w:r w:rsidR="007D7EAA">
      <w:rPr>
        <w:b/>
        <w:noProof/>
        <w:color w:val="FFFFFF" w:themeColor="background1"/>
      </w:rPr>
      <w:t>2</w:t>
    </w:r>
    <w:r w:rsidRPr="009D1835">
      <w:rPr>
        <w:b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3C550" w14:textId="77777777" w:rsidR="007F6C85" w:rsidRDefault="007F6C85" w:rsidP="009C56FA">
      <w:pPr>
        <w:spacing w:after="0" w:line="240" w:lineRule="auto"/>
      </w:pPr>
      <w:r>
        <w:separator/>
      </w:r>
    </w:p>
  </w:footnote>
  <w:footnote w:type="continuationSeparator" w:id="0">
    <w:p w14:paraId="725C10B0" w14:textId="77777777" w:rsidR="007F6C85" w:rsidRDefault="007F6C85" w:rsidP="009C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2D519" w14:textId="77777777" w:rsidR="007F6C85" w:rsidRDefault="007F6C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D5B6AE" wp14:editId="23CE1C83">
          <wp:simplePos x="0" y="0"/>
          <wp:positionH relativeFrom="column">
            <wp:posOffset>0</wp:posOffset>
          </wp:positionH>
          <wp:positionV relativeFrom="margin">
            <wp:posOffset>-742950</wp:posOffset>
          </wp:positionV>
          <wp:extent cx="3657600" cy="6158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GO_Logo_4Colours_Tagline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1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371"/>
    <w:multiLevelType w:val="hybridMultilevel"/>
    <w:tmpl w:val="50BE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412E6"/>
    <w:multiLevelType w:val="hybridMultilevel"/>
    <w:tmpl w:val="470E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A8E"/>
    <w:multiLevelType w:val="hybridMultilevel"/>
    <w:tmpl w:val="C95EB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05133"/>
    <w:multiLevelType w:val="hybridMultilevel"/>
    <w:tmpl w:val="B96AC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D5399"/>
    <w:multiLevelType w:val="multilevel"/>
    <w:tmpl w:val="C83648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A61159"/>
    <w:multiLevelType w:val="hybridMultilevel"/>
    <w:tmpl w:val="592ED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8"/>
    <w:rsid w:val="000B7848"/>
    <w:rsid w:val="000C554D"/>
    <w:rsid w:val="001119CC"/>
    <w:rsid w:val="001B488B"/>
    <w:rsid w:val="001D0AA8"/>
    <w:rsid w:val="002330F1"/>
    <w:rsid w:val="00263804"/>
    <w:rsid w:val="002D6796"/>
    <w:rsid w:val="00312F5D"/>
    <w:rsid w:val="00386465"/>
    <w:rsid w:val="003C1403"/>
    <w:rsid w:val="003C7A2D"/>
    <w:rsid w:val="00406206"/>
    <w:rsid w:val="0041427D"/>
    <w:rsid w:val="00427765"/>
    <w:rsid w:val="004B7055"/>
    <w:rsid w:val="005069A4"/>
    <w:rsid w:val="00512F39"/>
    <w:rsid w:val="00542A74"/>
    <w:rsid w:val="0058608B"/>
    <w:rsid w:val="005D75A2"/>
    <w:rsid w:val="005E223D"/>
    <w:rsid w:val="005E3EF8"/>
    <w:rsid w:val="0061794B"/>
    <w:rsid w:val="00652FC3"/>
    <w:rsid w:val="006600F4"/>
    <w:rsid w:val="00700BDB"/>
    <w:rsid w:val="00710A1B"/>
    <w:rsid w:val="00774EEC"/>
    <w:rsid w:val="00776ADE"/>
    <w:rsid w:val="007D7EAA"/>
    <w:rsid w:val="007F6C85"/>
    <w:rsid w:val="008060C9"/>
    <w:rsid w:val="008537D7"/>
    <w:rsid w:val="008907E6"/>
    <w:rsid w:val="0089648F"/>
    <w:rsid w:val="008F1CF2"/>
    <w:rsid w:val="0091416A"/>
    <w:rsid w:val="00916395"/>
    <w:rsid w:val="00926B9D"/>
    <w:rsid w:val="009478E6"/>
    <w:rsid w:val="009761C4"/>
    <w:rsid w:val="009C56FA"/>
    <w:rsid w:val="009D1835"/>
    <w:rsid w:val="009E3145"/>
    <w:rsid w:val="00A039BC"/>
    <w:rsid w:val="00A14FCD"/>
    <w:rsid w:val="00A31972"/>
    <w:rsid w:val="00A9157D"/>
    <w:rsid w:val="00AD2A48"/>
    <w:rsid w:val="00B923D1"/>
    <w:rsid w:val="00C16368"/>
    <w:rsid w:val="00C62A83"/>
    <w:rsid w:val="00C7638B"/>
    <w:rsid w:val="00CA0341"/>
    <w:rsid w:val="00CA1F4A"/>
    <w:rsid w:val="00CA73C3"/>
    <w:rsid w:val="00CA7B35"/>
    <w:rsid w:val="00D01D6D"/>
    <w:rsid w:val="00D34E44"/>
    <w:rsid w:val="00D4463C"/>
    <w:rsid w:val="00D72A18"/>
    <w:rsid w:val="00DC4420"/>
    <w:rsid w:val="00E15E4F"/>
    <w:rsid w:val="00E27635"/>
    <w:rsid w:val="00E528B8"/>
    <w:rsid w:val="00E529BC"/>
    <w:rsid w:val="00F26F72"/>
    <w:rsid w:val="00F37717"/>
    <w:rsid w:val="00F448AA"/>
    <w:rsid w:val="00FB39E2"/>
    <w:rsid w:val="00FB61A7"/>
    <w:rsid w:val="00FC0CF7"/>
    <w:rsid w:val="00FD2E8C"/>
    <w:rsid w:val="00FE3346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A81945C"/>
  <w15:chartTrackingRefBased/>
  <w15:docId w15:val="{363DE7F0-76D8-4E72-A5CC-842924A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72"/>
    <w:pPr>
      <w:spacing w:after="240"/>
    </w:pPr>
    <w:rPr>
      <w:rFonts w:cstheme="minorHAnsi"/>
      <w:color w:val="414042" w:themeColor="accent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F5D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/>
      <w:color w:val="0075BF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8B8"/>
    <w:pPr>
      <w:keepNext/>
      <w:keepLines/>
      <w:spacing w:after="120" w:line="240" w:lineRule="auto"/>
      <w:outlineLvl w:val="1"/>
    </w:pPr>
    <w:rPr>
      <w:rFonts w:ascii="Calibri" w:eastAsiaTheme="majorEastAsia" w:hAnsi="Calibri" w:cstheme="majorBidi"/>
      <w:b/>
      <w:color w:val="7DC242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341"/>
    <w:pPr>
      <w:keepNext/>
      <w:keepLines/>
      <w:spacing w:after="40" w:line="24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7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8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765"/>
    <w:rPr>
      <w:rFonts w:ascii="Calibri" w:hAnsi="Calibri"/>
      <w:color w:val="00B0E5" w:themeColor="accent1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A83"/>
    <w:rPr>
      <w:color w:val="A1007D" w:themeColor="followedHyperlink"/>
      <w:u w:val="single"/>
    </w:rPr>
  </w:style>
  <w:style w:type="paragraph" w:customStyle="1" w:styleId="xxmsonormal">
    <w:name w:val="x_xmsonormal"/>
    <w:basedOn w:val="Normal"/>
    <w:rsid w:val="00D446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7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7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2F5D"/>
    <w:rPr>
      <w:rFonts w:ascii="Corbel" w:eastAsiaTheme="majorEastAsia" w:hAnsi="Corbel" w:cstheme="majorBidi"/>
      <w:b/>
      <w:color w:val="0075B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8B8"/>
    <w:rPr>
      <w:rFonts w:ascii="Calibri" w:eastAsiaTheme="majorEastAsia" w:hAnsi="Calibri" w:cstheme="majorBidi"/>
      <w:b/>
      <w:color w:val="7DC242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0341"/>
    <w:rPr>
      <w:rFonts w:ascii="Calibri" w:eastAsiaTheme="majorEastAsia" w:hAnsi="Calibri" w:cstheme="majorBidi"/>
      <w:b/>
      <w:color w:val="414042" w:themeColor="accent6"/>
      <w:sz w:val="24"/>
      <w:szCs w:val="24"/>
    </w:rPr>
  </w:style>
  <w:style w:type="table" w:styleId="TableGrid">
    <w:name w:val="Table Grid"/>
    <w:basedOn w:val="TableNormal"/>
    <w:uiPriority w:val="39"/>
    <w:rsid w:val="00916395"/>
    <w:pPr>
      <w:spacing w:after="0" w:line="240" w:lineRule="auto"/>
    </w:pPr>
    <w:rPr>
      <w:color w:val="414042" w:themeColor="accent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6395"/>
    <w:pPr>
      <w:spacing w:after="0" w:line="240" w:lineRule="auto"/>
    </w:pPr>
    <w:rPr>
      <w:rFonts w:cstheme="minorHAnsi"/>
      <w:color w:val="414042" w:themeColor="accent6"/>
    </w:rPr>
  </w:style>
  <w:style w:type="paragraph" w:styleId="Header">
    <w:name w:val="header"/>
    <w:basedOn w:val="Normal"/>
    <w:link w:val="HeaderChar"/>
    <w:uiPriority w:val="99"/>
    <w:unhideWhenUsed/>
    <w:rsid w:val="009C5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FA"/>
    <w:rPr>
      <w:rFonts w:cstheme="minorHAnsi"/>
      <w:color w:val="414042" w:themeColor="accent6"/>
    </w:rPr>
  </w:style>
  <w:style w:type="paragraph" w:styleId="Footer">
    <w:name w:val="footer"/>
    <w:basedOn w:val="Normal"/>
    <w:link w:val="FooterChar"/>
    <w:uiPriority w:val="99"/>
    <w:unhideWhenUsed/>
    <w:rsid w:val="009D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35"/>
    <w:rPr>
      <w:rFonts w:cstheme="minorHAnsi"/>
      <w:color w:val="414042" w:themeColor="accent6"/>
    </w:rPr>
  </w:style>
  <w:style w:type="paragraph" w:styleId="Title">
    <w:name w:val="Title"/>
    <w:basedOn w:val="Normal"/>
    <w:next w:val="Normal"/>
    <w:link w:val="TitleChar"/>
    <w:uiPriority w:val="10"/>
    <w:qFormat/>
    <w:rsid w:val="00FB61A7"/>
    <w:pPr>
      <w:spacing w:before="6120" w:after="0" w:line="240" w:lineRule="auto"/>
      <w:contextualSpacing/>
    </w:pPr>
    <w:rPr>
      <w:rFonts w:ascii="Corbel" w:eastAsiaTheme="majorEastAsia" w:hAnsi="Corbel" w:cstheme="majorBidi"/>
      <w:b/>
      <w:color w:val="0075BF" w:themeColor="text2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1A7"/>
    <w:rPr>
      <w:rFonts w:ascii="Corbel" w:eastAsiaTheme="majorEastAsia" w:hAnsi="Corbel" w:cstheme="majorBidi"/>
      <w:b/>
      <w:color w:val="0075BF" w:themeColor="text2"/>
      <w:spacing w:val="-10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1A7"/>
    <w:pPr>
      <w:numPr>
        <w:ilvl w:val="1"/>
      </w:numPr>
      <w:spacing w:before="240" w:after="160" w:line="276" w:lineRule="auto"/>
    </w:pPr>
    <w:rPr>
      <w:rFonts w:eastAsiaTheme="minorEastAsia" w:cstheme="minorBidi"/>
      <w:color w:val="5A5A5A" w:themeColor="text1" w:themeTint="A5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B61A7"/>
    <w:rPr>
      <w:rFonts w:eastAsiaTheme="minorEastAsia"/>
      <w:color w:val="5A5A5A" w:themeColor="text1" w:themeTint="A5"/>
      <w:spacing w:val="15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go.ca/satellite-manu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go.ca/satellite-manual/3-0-chemotherapy-administration/3-3-extravasation-management/3-3-4-referen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go.ca/satellite-manual/1-0-introduction/1-4-pogo-satellite-manual-disclaim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OGO1">
  <a:themeElements>
    <a:clrScheme name="POGO1">
      <a:dk1>
        <a:sysClr val="windowText" lastClr="000000"/>
      </a:dk1>
      <a:lt1>
        <a:sysClr val="window" lastClr="FFFFFF"/>
      </a:lt1>
      <a:dk2>
        <a:srgbClr val="0075BF"/>
      </a:dk2>
      <a:lt2>
        <a:srgbClr val="0099D8"/>
      </a:lt2>
      <a:accent1>
        <a:srgbClr val="00B0E5"/>
      </a:accent1>
      <a:accent2>
        <a:srgbClr val="7DC242"/>
      </a:accent2>
      <a:accent3>
        <a:srgbClr val="F6CF3E"/>
      </a:accent3>
      <a:accent4>
        <a:srgbClr val="A1007D"/>
      </a:accent4>
      <a:accent5>
        <a:srgbClr val="D31D57"/>
      </a:accent5>
      <a:accent6>
        <a:srgbClr val="414042"/>
      </a:accent6>
      <a:hlink>
        <a:srgbClr val="0075BF"/>
      </a:hlink>
      <a:folHlink>
        <a:srgbClr val="A100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Antidotes and Treatment for Extravasation | POGO Satellite Manual</vt:lpstr>
    </vt:vector>
  </TitlesOfParts>
  <Company>POGO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Antidotes and Treatment for Extravasation | POGO Satellite Manual</dc:title>
  <dc:subject/>
  <dc:creator>Pediatric Oncology Group of Ontario</dc:creator>
  <cp:keywords/>
  <dc:description/>
  <cp:lastModifiedBy>Mandy Sala</cp:lastModifiedBy>
  <cp:revision>4</cp:revision>
  <cp:lastPrinted>2022-01-27T18:30:00Z</cp:lastPrinted>
  <dcterms:created xsi:type="dcterms:W3CDTF">2022-01-27T18:26:00Z</dcterms:created>
  <dcterms:modified xsi:type="dcterms:W3CDTF">2022-03-30T14:28:00Z</dcterms:modified>
</cp:coreProperties>
</file>